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line="386" w:lineRule="atLeast"/>
        <w:ind w:firstLine="480"/>
        <w:jc w:val="center"/>
        <w:rPr>
          <w:rFonts w:hint="eastAsia" w:asciiTheme="majorEastAsia" w:hAnsiTheme="majorEastAsia" w:eastAsiaTheme="majorEastAsia" w:cstheme="majorEastAsia"/>
          <w:b/>
          <w:bCs/>
          <w:kern w:val="0"/>
          <w:sz w:val="36"/>
          <w:szCs w:val="36"/>
        </w:rPr>
      </w:pPr>
      <w:r>
        <w:rPr>
          <w:rFonts w:hint="eastAsia" w:asciiTheme="majorEastAsia" w:hAnsiTheme="majorEastAsia" w:eastAsiaTheme="majorEastAsia" w:cstheme="majorEastAsia"/>
          <w:b/>
          <w:bCs/>
          <w:kern w:val="0"/>
          <w:sz w:val="36"/>
          <w:szCs w:val="36"/>
        </w:rPr>
        <w:t>我会接受四川</w:t>
      </w:r>
      <w:r>
        <w:rPr>
          <w:rFonts w:hint="eastAsia" w:asciiTheme="majorEastAsia" w:hAnsiTheme="majorEastAsia" w:eastAsiaTheme="majorEastAsia" w:cstheme="majorEastAsia"/>
          <w:b/>
          <w:bCs/>
          <w:kern w:val="0"/>
          <w:sz w:val="36"/>
          <w:szCs w:val="36"/>
        </w:rPr>
        <w:t>省</w:t>
      </w:r>
      <w:r>
        <w:rPr>
          <w:rFonts w:hint="eastAsia" w:asciiTheme="majorEastAsia" w:hAnsiTheme="majorEastAsia" w:eastAsiaTheme="majorEastAsia" w:cstheme="majorEastAsia"/>
          <w:b/>
          <w:bCs/>
          <w:kern w:val="0"/>
          <w:sz w:val="36"/>
          <w:szCs w:val="36"/>
        </w:rPr>
        <w:t>安全生产培训</w:t>
      </w:r>
      <w:r>
        <w:rPr>
          <w:rFonts w:hint="eastAsia" w:asciiTheme="majorEastAsia" w:hAnsiTheme="majorEastAsia" w:eastAsiaTheme="majorEastAsia" w:cstheme="majorEastAsia"/>
          <w:b/>
          <w:bCs/>
          <w:kern w:val="0"/>
          <w:sz w:val="36"/>
          <w:szCs w:val="36"/>
        </w:rPr>
        <w:t>协会</w:t>
      </w:r>
      <w:r>
        <w:rPr>
          <w:rFonts w:hint="eastAsia" w:asciiTheme="majorEastAsia" w:hAnsiTheme="majorEastAsia" w:eastAsiaTheme="majorEastAsia" w:cstheme="majorEastAsia"/>
          <w:b/>
          <w:bCs/>
          <w:kern w:val="0"/>
          <w:sz w:val="36"/>
          <w:szCs w:val="36"/>
        </w:rPr>
        <w:t>2019年</w:t>
      </w:r>
    </w:p>
    <w:p>
      <w:pPr>
        <w:pStyle w:val="5"/>
        <w:widowControl/>
        <w:spacing w:line="386" w:lineRule="atLeast"/>
        <w:ind w:firstLine="480"/>
        <w:jc w:val="center"/>
        <w:rPr>
          <w:rFonts w:hint="eastAsia" w:asciiTheme="majorEastAsia" w:hAnsiTheme="majorEastAsia" w:eastAsiaTheme="majorEastAsia" w:cstheme="majorEastAsia"/>
          <w:b/>
          <w:bCs/>
          <w:kern w:val="0"/>
          <w:sz w:val="36"/>
          <w:szCs w:val="36"/>
        </w:rPr>
      </w:pPr>
      <w:r>
        <w:rPr>
          <w:rFonts w:hint="eastAsia" w:asciiTheme="majorEastAsia" w:hAnsiTheme="majorEastAsia" w:eastAsiaTheme="majorEastAsia" w:cstheme="majorEastAsia"/>
          <w:b/>
          <w:bCs/>
          <w:kern w:val="0"/>
          <w:sz w:val="36"/>
          <w:szCs w:val="36"/>
        </w:rPr>
        <w:t>复审考评</w:t>
      </w:r>
    </w:p>
    <w:p>
      <w:pPr>
        <w:pStyle w:val="5"/>
        <w:widowControl/>
        <w:spacing w:line="360" w:lineRule="auto"/>
        <w:ind w:firstLine="48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　</w:t>
      </w:r>
      <w:r>
        <w:rPr>
          <w:rFonts w:hint="eastAsia" w:ascii="仿宋" w:hAnsi="仿宋" w:eastAsia="仿宋" w:cs="仿宋"/>
          <w:kern w:val="0"/>
          <w:sz w:val="32"/>
          <w:szCs w:val="32"/>
        </w:rPr>
        <w:t>2019年4月15日，四川省安全生产培训协会专家组代明刚一行对我会进行了复审考评。</w:t>
      </w:r>
    </w:p>
    <w:p>
      <w:pPr>
        <w:pStyle w:val="5"/>
        <w:widowControl/>
        <w:spacing w:line="360" w:lineRule="auto"/>
        <w:jc w:val="left"/>
        <w:rPr>
          <w:rFonts w:hint="eastAsia" w:ascii="仿宋" w:hAnsi="仿宋" w:eastAsia="仿宋" w:cs="仿宋"/>
          <w:sz w:val="32"/>
          <w:szCs w:val="32"/>
        </w:rPr>
      </w:pPr>
      <w:r>
        <w:rPr>
          <w:rFonts w:hint="eastAsia" w:ascii="仿宋" w:hAnsi="仿宋" w:eastAsia="仿宋" w:cs="仿宋"/>
          <w:sz w:val="32"/>
          <w:szCs w:val="32"/>
          <w:lang w:eastAsia="zh-CN"/>
        </w:rPr>
        <w:t>　　</w:t>
      </w:r>
      <w:bookmarkStart w:id="0" w:name="_GoBack"/>
      <w:bookmarkEnd w:id="0"/>
      <w:r>
        <w:rPr>
          <w:rFonts w:hint="eastAsia" w:ascii="仿宋" w:hAnsi="仿宋" w:eastAsia="仿宋" w:cs="仿宋"/>
          <w:sz w:val="32"/>
          <w:szCs w:val="32"/>
        </w:rPr>
        <w:t>本次复审考评是专家们在前期资料考评的基础上，对我会的</w:t>
      </w:r>
      <w:r>
        <w:rPr>
          <w:rFonts w:hint="eastAsia" w:ascii="仿宋" w:hAnsi="仿宋" w:eastAsia="仿宋" w:cs="仿宋"/>
          <w:color w:val="000000"/>
          <w:sz w:val="32"/>
          <w:szCs w:val="32"/>
          <w:shd w:val="clear" w:color="auto" w:fill="FFFFFF"/>
        </w:rPr>
        <w:t>安全培训基本条件、安全培训质量、安全培训收费情况及《会员自律公约》执行情况以及其他情况</w:t>
      </w:r>
      <w:r>
        <w:rPr>
          <w:rFonts w:hint="eastAsia" w:ascii="仿宋" w:hAnsi="仿宋" w:eastAsia="仿宋" w:cs="仿宋"/>
          <w:sz w:val="32"/>
          <w:szCs w:val="32"/>
        </w:rPr>
        <w:t>进行的现场考评</w:t>
      </w:r>
      <w:r>
        <w:rPr>
          <w:rFonts w:hint="eastAsia" w:ascii="仿宋" w:hAnsi="仿宋" w:eastAsia="仿宋" w:cs="仿宋"/>
          <w:color w:val="000000"/>
          <w:sz w:val="32"/>
          <w:szCs w:val="32"/>
          <w:shd w:val="clear" w:color="auto" w:fill="FFFFFF"/>
        </w:rPr>
        <w:t>。</w:t>
      </w:r>
    </w:p>
    <w:p>
      <w:pPr>
        <w:pStyle w:val="5"/>
        <w:widowControl/>
        <w:spacing w:line="360" w:lineRule="auto"/>
        <w:jc w:val="left"/>
        <w:rPr>
          <w:rFonts w:hint="eastAsia" w:ascii="仿宋" w:hAnsi="仿宋" w:eastAsia="仿宋" w:cs="仿宋"/>
          <w:sz w:val="32"/>
          <w:szCs w:val="32"/>
        </w:rPr>
      </w:pPr>
      <w:r>
        <w:rPr>
          <w:rFonts w:hint="eastAsia" w:ascii="仿宋" w:hAnsi="仿宋" w:eastAsia="仿宋" w:cs="仿宋"/>
          <w:sz w:val="32"/>
          <w:szCs w:val="32"/>
          <w:lang w:eastAsia="zh-CN"/>
        </w:rPr>
        <w:t>　　</w:t>
      </w:r>
      <w:r>
        <w:rPr>
          <w:rFonts w:hint="eastAsia" w:ascii="仿宋" w:hAnsi="仿宋" w:eastAsia="仿宋" w:cs="仿宋"/>
          <w:sz w:val="32"/>
          <w:szCs w:val="32"/>
        </w:rPr>
        <w:t>考评专家在对我会的培训教室、计算机配置、实训场所及设备进行现场核查并听取了安全培训情况汇报后，抽样检查了教师档案、教学文件、培训档案等资料，并对照《安全培训基本条件及安全培训质量考评评分表》逐项打分考评。</w:t>
      </w:r>
    </w:p>
    <w:p>
      <w:pPr>
        <w:pStyle w:val="5"/>
        <w:widowControl/>
        <w:spacing w:line="360" w:lineRule="auto"/>
        <w:jc w:val="left"/>
      </w:pPr>
      <w:r>
        <w:rPr>
          <w:rFonts w:hint="eastAsia" w:ascii="仿宋" w:hAnsi="仿宋" w:eastAsia="仿宋" w:cs="仿宋"/>
          <w:sz w:val="32"/>
          <w:szCs w:val="32"/>
          <w:lang w:eastAsia="zh-CN"/>
        </w:rPr>
        <w:t>　　</w:t>
      </w:r>
      <w:r>
        <w:rPr>
          <w:rFonts w:hint="eastAsia" w:ascii="仿宋" w:hAnsi="仿宋" w:eastAsia="仿宋" w:cs="仿宋"/>
          <w:sz w:val="32"/>
          <w:szCs w:val="32"/>
        </w:rPr>
        <w:t>考评结束后，专家组与我会负责人及相关科室人员交换了考评意见，对我会严格依法开展安全生产培训，加强培训质量控制，切实加强安全生产培训管理等方面所采取的举措和取得的成绩予以肯定。同时，就培训档案、实作场地、教学文件等方面存在的不足之处为我们提出了宝贵的改进建议，我会将按照专家们的建议认真进行整改，提高安全培训管理水平。</w:t>
      </w:r>
    </w:p>
    <w:p>
      <w:pPr>
        <w:pStyle w:val="5"/>
        <w:widowControl/>
        <w:spacing w:line="360" w:lineRule="auto"/>
        <w:ind w:firstLine="480"/>
        <w:jc w:val="left"/>
      </w:pPr>
      <w:r>
        <w:drawing>
          <wp:inline distT="0" distB="0" distL="0" distR="0">
            <wp:extent cx="4081145" cy="3060700"/>
            <wp:effectExtent l="19050" t="0" r="0" b="0"/>
            <wp:docPr id="3" name="图片 2" descr="E:\E盘资料\协会工作总汇\省协会文件\2019年复审考评资料\申报资料\考评结论和相片\Cache_-58421e30c1eef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E:\E盘资料\协会工作总汇\省协会文件\2019年复审考评资料\申报资料\考评结论和相片\Cache_-58421e30c1eef247..jpg"/>
                    <pic:cNvPicPr>
                      <a:picLocks noChangeAspect="1" noChangeArrowheads="1"/>
                    </pic:cNvPicPr>
                  </pic:nvPicPr>
                  <pic:blipFill>
                    <a:blip r:embed="rId4"/>
                    <a:srcRect/>
                    <a:stretch>
                      <a:fillRect/>
                    </a:stretch>
                  </pic:blipFill>
                  <pic:spPr>
                    <a:xfrm>
                      <a:off x="0" y="0"/>
                      <a:ext cx="4080417" cy="3060314"/>
                    </a:xfrm>
                    <a:prstGeom prst="rect">
                      <a:avLst/>
                    </a:prstGeom>
                    <a:noFill/>
                    <a:ln w="9525">
                      <a:noFill/>
                      <a:miter lim="800000"/>
                      <a:headEnd/>
                      <a:tailEnd/>
                    </a:ln>
                  </pic:spPr>
                </pic:pic>
              </a:graphicData>
            </a:graphic>
          </wp:inline>
        </w:drawing>
      </w:r>
    </w:p>
    <w:p>
      <w:pPr>
        <w:pStyle w:val="5"/>
        <w:widowControl/>
        <w:spacing w:line="386" w:lineRule="atLeast"/>
        <w:ind w:firstLine="480"/>
        <w:jc w:val="left"/>
      </w:pPr>
      <w:r>
        <w:drawing>
          <wp:inline distT="0" distB="0" distL="0" distR="0">
            <wp:extent cx="4109720" cy="3082290"/>
            <wp:effectExtent l="19050" t="0" r="4762" b="0"/>
            <wp:docPr id="1" name="图片 1" descr="E:\E盘资料\协会工作总汇\省协会文件\2019年复审考评资料\申报资料\考评结论和相片\Cache_-afc1d0f49fe0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E盘资料\协会工作总汇\省协会文件\2019年复审考评资料\申报资料\考评结论和相片\Cache_-afc1d0f49fe010b..jpg"/>
                    <pic:cNvPicPr>
                      <a:picLocks noChangeAspect="1" noChangeArrowheads="1"/>
                    </pic:cNvPicPr>
                  </pic:nvPicPr>
                  <pic:blipFill>
                    <a:blip r:embed="rId5"/>
                    <a:srcRect/>
                    <a:stretch>
                      <a:fillRect/>
                    </a:stretch>
                  </pic:blipFill>
                  <pic:spPr>
                    <a:xfrm>
                      <a:off x="0" y="0"/>
                      <a:ext cx="4112214" cy="3084161"/>
                    </a:xfrm>
                    <a:prstGeom prst="rect">
                      <a:avLst/>
                    </a:prstGeom>
                    <a:noFill/>
                    <a:ln w="9525">
                      <a:noFill/>
                      <a:miter lim="800000"/>
                      <a:headEnd/>
                      <a:tailEnd/>
                    </a:ln>
                  </pic:spPr>
                </pic:pic>
              </a:graphicData>
            </a:graphic>
          </wp:inline>
        </w:drawing>
      </w:r>
    </w:p>
    <w:p>
      <w:pPr>
        <w:pStyle w:val="5"/>
        <w:widowControl/>
        <w:spacing w:line="386" w:lineRule="atLeast"/>
        <w:ind w:firstLine="480"/>
        <w:jc w:val="left"/>
      </w:pPr>
    </w:p>
    <w:p>
      <w:pPr>
        <w:widowControl/>
        <w:jc w:val="left"/>
        <w:rPr>
          <w:rFonts w:ascii="宋体" w:hAnsi="宋体" w:eastAsia="宋体" w:cs="宋体"/>
          <w:kern w:val="0"/>
          <w:sz w:val="24"/>
          <w:szCs w:val="24"/>
        </w:rPr>
      </w:pPr>
    </w:p>
    <w:p>
      <w:pPr>
        <w:pStyle w:val="5"/>
        <w:widowControl/>
        <w:spacing w:line="386" w:lineRule="atLeast"/>
        <w:ind w:firstLine="480"/>
        <w:jc w:val="left"/>
      </w:pPr>
    </w:p>
    <w:sectPr>
      <w:pgSz w:w="11906" w:h="16838"/>
      <w:pgMar w:top="851" w:right="1800"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D102E"/>
    <w:rsid w:val="00013248"/>
    <w:rsid w:val="000B53B0"/>
    <w:rsid w:val="00116DE6"/>
    <w:rsid w:val="001A7644"/>
    <w:rsid w:val="002427A7"/>
    <w:rsid w:val="00287801"/>
    <w:rsid w:val="00287F47"/>
    <w:rsid w:val="002F3AB9"/>
    <w:rsid w:val="003841A4"/>
    <w:rsid w:val="003846DC"/>
    <w:rsid w:val="003E25C6"/>
    <w:rsid w:val="00487DA0"/>
    <w:rsid w:val="004F3594"/>
    <w:rsid w:val="005405C5"/>
    <w:rsid w:val="006073F8"/>
    <w:rsid w:val="006D787E"/>
    <w:rsid w:val="00704ED6"/>
    <w:rsid w:val="00722FB9"/>
    <w:rsid w:val="0073083F"/>
    <w:rsid w:val="00752EE1"/>
    <w:rsid w:val="007A31E9"/>
    <w:rsid w:val="007D102E"/>
    <w:rsid w:val="00844BBF"/>
    <w:rsid w:val="008D63B1"/>
    <w:rsid w:val="008E6B64"/>
    <w:rsid w:val="009527D1"/>
    <w:rsid w:val="009C61B5"/>
    <w:rsid w:val="009F213D"/>
    <w:rsid w:val="00A0125D"/>
    <w:rsid w:val="00A143BB"/>
    <w:rsid w:val="00A75B08"/>
    <w:rsid w:val="00AE645E"/>
    <w:rsid w:val="00B0165B"/>
    <w:rsid w:val="00B702B5"/>
    <w:rsid w:val="00B86259"/>
    <w:rsid w:val="00B86321"/>
    <w:rsid w:val="00CC37A7"/>
    <w:rsid w:val="00D9133D"/>
    <w:rsid w:val="00D93B59"/>
    <w:rsid w:val="00DB0EFF"/>
    <w:rsid w:val="00E650C1"/>
    <w:rsid w:val="00E676F3"/>
    <w:rsid w:val="00E75C8E"/>
    <w:rsid w:val="00E77983"/>
    <w:rsid w:val="00E86061"/>
    <w:rsid w:val="00E93B70"/>
    <w:rsid w:val="00ED7CC8"/>
    <w:rsid w:val="00F03CB3"/>
    <w:rsid w:val="00F57D87"/>
    <w:rsid w:val="00F754E2"/>
    <w:rsid w:val="00F9153D"/>
    <w:rsid w:val="00F94E30"/>
    <w:rsid w:val="00F95E87"/>
    <w:rsid w:val="00FA19BD"/>
    <w:rsid w:val="68E97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Pages>
  <Words>61</Words>
  <Characters>353</Characters>
  <Lines>2</Lines>
  <Paragraphs>1</Paragraphs>
  <TotalTime>365</TotalTime>
  <ScaleCrop>false</ScaleCrop>
  <LinksUpToDate>false</LinksUpToDate>
  <CharactersWithSpaces>413</CharactersWithSpaces>
  <Application>WPS Office_11.1.0.8412_F1E327BC-269C-435d-A152-05C5408002CA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2019-04-17T01:17:00Z</dcterms:created>
  <dc:creator>Sky123.Org</dc:creator>
  <cp:lastModifiedBy>潇潇</cp:lastModifiedBy>
  <dcterms:modified xsi:type="dcterms:W3CDTF">2019-04-17T07:56:38Z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2052-11.1.0.8412</vt:lpwstr>
  </property>
</Properties>
</file>